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N°</w:t>
      </w:r>
      <w:r w:rsidR="00EE6A66">
        <w:rPr>
          <w:rFonts w:ascii="Arial" w:hAnsi="Arial" w:cs="Arial"/>
          <w:b/>
          <w:sz w:val="16"/>
          <w:szCs w:val="16"/>
        </w:rPr>
        <w:t xml:space="preserve"> 30</w:t>
      </w:r>
      <w:r w:rsidR="005F7B2A">
        <w:rPr>
          <w:rFonts w:ascii="Arial" w:hAnsi="Arial" w:cs="Arial"/>
          <w:b/>
          <w:sz w:val="16"/>
          <w:szCs w:val="16"/>
        </w:rPr>
        <w:t>0</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E6A66">
        <w:rPr>
          <w:rFonts w:ascii="Arial" w:hAnsi="Arial" w:cs="Arial"/>
          <w:b/>
          <w:bCs/>
          <w:sz w:val="16"/>
          <w:szCs w:val="16"/>
        </w:rPr>
        <w:t xml:space="preserve"> 4</w:t>
      </w:r>
      <w:r w:rsidR="005F7B2A">
        <w:rPr>
          <w:rFonts w:ascii="Arial" w:hAnsi="Arial" w:cs="Arial"/>
          <w:b/>
          <w:bCs/>
          <w:sz w:val="16"/>
          <w:szCs w:val="16"/>
        </w:rPr>
        <w:t>21</w:t>
      </w:r>
      <w:r w:rsidR="00B1138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w:t>
      </w:r>
      <w:r w:rsidR="00B11384">
        <w:rPr>
          <w:rFonts w:ascii="Arial" w:hAnsi="Arial" w:cs="Arial"/>
          <w:b/>
          <w:noProof/>
          <w:sz w:val="16"/>
          <w:szCs w:val="16"/>
        </w:rPr>
        <w:t>0</w:t>
      </w:r>
      <w:r w:rsidR="005F7B2A">
        <w:rPr>
          <w:rFonts w:ascii="Arial" w:hAnsi="Arial" w:cs="Arial"/>
          <w:b/>
          <w:noProof/>
          <w:sz w:val="16"/>
          <w:szCs w:val="16"/>
        </w:rPr>
        <w:t>0644</w:t>
      </w:r>
      <w:r w:rsidR="00251D62">
        <w:rPr>
          <w:rFonts w:ascii="Arial" w:hAnsi="Arial" w:cs="Arial"/>
          <w:b/>
          <w:noProof/>
          <w:sz w:val="16"/>
          <w:szCs w:val="16"/>
        </w:rPr>
        <w:t>-01</w:t>
      </w:r>
      <w:r w:rsidR="00D9528D">
        <w:rPr>
          <w:rFonts w:ascii="Arial" w:hAnsi="Arial" w:cs="Arial"/>
          <w:b/>
          <w:noProof/>
          <w:sz w:val="16"/>
          <w:szCs w:val="16"/>
        </w:rPr>
        <w:t>/2016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xml:space="preserve">, </w:t>
      </w:r>
      <w:r w:rsidR="00801E16">
        <w:rPr>
          <w:rFonts w:ascii="Arial" w:hAnsi="Arial" w:cs="Arial"/>
          <w:sz w:val="16"/>
          <w:szCs w:val="16"/>
        </w:rPr>
        <w:t>PRÉDIO</w:t>
      </w:r>
      <w:r w:rsidR="00801E16" w:rsidRPr="00DB505B">
        <w:rPr>
          <w:rFonts w:ascii="Arial" w:hAnsi="Arial" w:cs="Arial"/>
          <w:sz w:val="16"/>
          <w:szCs w:val="16"/>
        </w:rPr>
        <w:t xml:space="preserve"> </w:t>
      </w:r>
      <w:r w:rsidR="00801E16">
        <w:rPr>
          <w:rFonts w:ascii="Arial" w:hAnsi="Arial" w:cs="Arial"/>
          <w:sz w:val="16"/>
          <w:szCs w:val="16"/>
        </w:rPr>
        <w:t>CENTRAL</w:t>
      </w:r>
      <w:r w:rsidR="00801E16" w:rsidRPr="00DB505B">
        <w:rPr>
          <w:rFonts w:ascii="Arial" w:hAnsi="Arial" w:cs="Arial"/>
          <w:sz w:val="16"/>
          <w:szCs w:val="16"/>
        </w:rPr>
        <w:t xml:space="preserve"> RIO </w:t>
      </w:r>
      <w:r w:rsidR="00801E16">
        <w:rPr>
          <w:rFonts w:ascii="Arial" w:hAnsi="Arial" w:cs="Arial"/>
          <w:sz w:val="16"/>
          <w:szCs w:val="16"/>
        </w:rPr>
        <w:t>PACAÁS NOVOS 2</w:t>
      </w:r>
      <w:r w:rsidR="00801E16" w:rsidRPr="00DB505B">
        <w:rPr>
          <w:rFonts w:ascii="Arial" w:hAnsi="Arial" w:cs="Arial"/>
          <w:sz w:val="16"/>
          <w:szCs w:val="16"/>
        </w:rPr>
        <w:t>º ANDAR – BAIRRO: PEDRINHAS</w:t>
      </w:r>
      <w:r w:rsidRPr="00DB505B">
        <w:rPr>
          <w:rFonts w:ascii="Arial" w:hAnsi="Arial" w:cs="Arial"/>
          <w:color w:val="000000"/>
          <w:sz w:val="16"/>
          <w:szCs w:val="16"/>
        </w:rPr>
        <w:t xml:space="preserve">, neste ato </w:t>
      </w:r>
      <w:r w:rsidRPr="00B11384">
        <w:rPr>
          <w:rFonts w:ascii="Arial" w:hAnsi="Arial" w:cs="Arial"/>
          <w:color w:val="000000"/>
          <w:sz w:val="16"/>
          <w:szCs w:val="16"/>
        </w:rPr>
        <w:t xml:space="preserve">representado pelo </w:t>
      </w:r>
      <w:r w:rsidRPr="00B11384">
        <w:rPr>
          <w:rFonts w:ascii="Arial" w:hAnsi="Arial" w:cs="Arial"/>
          <w:b/>
          <w:bCs/>
          <w:sz w:val="16"/>
          <w:szCs w:val="16"/>
        </w:rPr>
        <w:t>Superintendente da SUPEL</w:t>
      </w:r>
      <w:r w:rsidRPr="00B11384">
        <w:rPr>
          <w:rFonts w:ascii="Arial" w:hAnsi="Arial" w:cs="Arial"/>
          <w:sz w:val="16"/>
          <w:szCs w:val="16"/>
        </w:rPr>
        <w:t>, Senhor Márcio Rogério Gabriel e a(s) empresa(s) qualificada(s) no</w:t>
      </w:r>
      <w:r w:rsidR="00190648" w:rsidRPr="00B11384">
        <w:rPr>
          <w:rFonts w:ascii="Arial" w:hAnsi="Arial" w:cs="Arial"/>
          <w:sz w:val="16"/>
          <w:szCs w:val="16"/>
        </w:rPr>
        <w:t xml:space="preserve"> Anexo Único desta Ata, resolvem</w:t>
      </w:r>
      <w:r w:rsidRPr="00B11384">
        <w:rPr>
          <w:rFonts w:ascii="Arial" w:hAnsi="Arial" w:cs="Arial"/>
          <w:sz w:val="16"/>
          <w:szCs w:val="16"/>
        </w:rPr>
        <w:t xml:space="preserve"> </w:t>
      </w:r>
      <w:r w:rsidRPr="00EE6A66">
        <w:rPr>
          <w:rFonts w:ascii="Arial" w:hAnsi="Arial" w:cs="Arial"/>
          <w:b/>
          <w:sz w:val="16"/>
          <w:szCs w:val="16"/>
        </w:rPr>
        <w:t>REGISTRAR O PREÇ</w:t>
      </w:r>
      <w:r w:rsidR="00F17DD3" w:rsidRPr="00EE6A66">
        <w:rPr>
          <w:rFonts w:ascii="Arial" w:hAnsi="Arial" w:cs="Arial"/>
          <w:b/>
          <w:sz w:val="16"/>
          <w:szCs w:val="16"/>
        </w:rPr>
        <w:t>O</w:t>
      </w:r>
      <w:r w:rsidR="00F17DD3" w:rsidRPr="00EE6A66">
        <w:rPr>
          <w:rFonts w:ascii="Arial" w:hAnsi="Arial" w:cs="Arial"/>
          <w:sz w:val="16"/>
          <w:szCs w:val="16"/>
        </w:rPr>
        <w:t xml:space="preserve"> </w:t>
      </w:r>
      <w:r w:rsidR="005F7B2A" w:rsidRPr="005F7B2A">
        <w:rPr>
          <w:rFonts w:ascii="Arial" w:hAnsi="Arial" w:cs="Arial"/>
          <w:color w:val="000000"/>
          <w:sz w:val="16"/>
          <w:szCs w:val="16"/>
        </w:rPr>
        <w:t>para futura e eventual contratação de empresa especializada na prestação de serviços de transporte com o fornecimento por diária de 01 (um) Veículo tipo Ônibus, com Ar Condicionado, com no mínimo 40 (quarenta) lugares para atender as necessidades da Coordenadoria de Infraestrutura, Ações Urbanísticas e Serviços Públicos – CINFRA na Obra de Construção do Espaço Alternativo</w:t>
      </w:r>
      <w:r w:rsidR="001D7CAD" w:rsidRPr="00B11384">
        <w:rPr>
          <w:rFonts w:ascii="Arial" w:hAnsi="Arial" w:cs="Arial"/>
          <w:sz w:val="16"/>
          <w:szCs w:val="16"/>
        </w:rPr>
        <w:t>,</w:t>
      </w:r>
      <w:r w:rsidR="00891C60" w:rsidRPr="00B11384">
        <w:rPr>
          <w:rFonts w:ascii="Arial" w:hAnsi="Arial" w:cs="Arial"/>
          <w:sz w:val="16"/>
          <w:szCs w:val="16"/>
        </w:rPr>
        <w:t xml:space="preserve"> a pedido do Departamento </w:t>
      </w:r>
      <w:r w:rsidR="00D9528D" w:rsidRPr="00B11384">
        <w:rPr>
          <w:rFonts w:ascii="Arial" w:hAnsi="Arial" w:cs="Arial"/>
          <w:sz w:val="16"/>
          <w:szCs w:val="16"/>
        </w:rPr>
        <w:t>d</w:t>
      </w:r>
      <w:r w:rsidR="00891C60" w:rsidRPr="00B11384">
        <w:rPr>
          <w:rFonts w:ascii="Arial" w:hAnsi="Arial" w:cs="Arial"/>
          <w:sz w:val="16"/>
          <w:szCs w:val="16"/>
        </w:rPr>
        <w:t>e Estra</w:t>
      </w:r>
      <w:r w:rsidR="00D9528D" w:rsidRPr="00B11384">
        <w:rPr>
          <w:rFonts w:ascii="Arial" w:hAnsi="Arial" w:cs="Arial"/>
          <w:sz w:val="16"/>
          <w:szCs w:val="16"/>
        </w:rPr>
        <w:t>das d</w:t>
      </w:r>
      <w:r w:rsidR="00891C60" w:rsidRPr="00B11384">
        <w:rPr>
          <w:rFonts w:ascii="Arial" w:hAnsi="Arial" w:cs="Arial"/>
          <w:sz w:val="16"/>
          <w:szCs w:val="16"/>
        </w:rPr>
        <w:t>e Rodagem, Infraestrutura e Serviços Públicos – DER,</w:t>
      </w:r>
      <w:r w:rsidR="001D7CAD" w:rsidRPr="00B11384">
        <w:rPr>
          <w:rFonts w:ascii="Arial" w:hAnsi="Arial" w:cs="Arial"/>
          <w:sz w:val="16"/>
          <w:szCs w:val="16"/>
        </w:rPr>
        <w:t xml:space="preserve"> </w:t>
      </w:r>
      <w:r w:rsidR="00DF042C" w:rsidRPr="00B11384">
        <w:rPr>
          <w:rFonts w:ascii="Arial" w:hAnsi="Arial" w:cs="Arial"/>
          <w:sz w:val="16"/>
          <w:szCs w:val="16"/>
        </w:rPr>
        <w:t xml:space="preserve">por um período de 12 (doze) meses, </w:t>
      </w:r>
      <w:r w:rsidRPr="00B11384">
        <w:rPr>
          <w:rFonts w:ascii="Arial" w:hAnsi="Arial" w:cs="Arial"/>
          <w:sz w:val="16"/>
          <w:szCs w:val="16"/>
        </w:rPr>
        <w:t>conforme Anexo Único desta ata, atendendo as condições previstas no instrumento convocatório e as constantes</w:t>
      </w:r>
      <w:r w:rsidRPr="00891C60">
        <w:rPr>
          <w:rFonts w:ascii="Arial" w:hAnsi="Arial" w:cs="Arial"/>
          <w:sz w:val="16"/>
          <w:szCs w:val="16"/>
        </w:rPr>
        <w:t xml:space="preserve">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5F7B2A" w:rsidRPr="005F7B2A">
        <w:rPr>
          <w:rFonts w:ascii="Arial" w:hAnsi="Arial" w:cs="Arial"/>
          <w:color w:val="000000"/>
          <w:sz w:val="16"/>
          <w:szCs w:val="16"/>
        </w:rPr>
        <w:t>para futura e eventual contratação de empresa especializada na prestação de serviços de transporte com o fornecimento por diária de 01 (um) Veículo tipo Ônibus, com Ar Condicionado, com no mínimo 40 (quarenta) lugares para atender as necessidades da Coordenadoria de Infraestrutura, Ações Urbanísticas e Serviços Públicos – CINFRA na Obra de Construção do Espaço Alternativo</w:t>
      </w:r>
      <w:r w:rsidR="005F7B2A" w:rsidRPr="00B11384">
        <w:rPr>
          <w:rFonts w:ascii="Arial" w:hAnsi="Arial" w:cs="Arial"/>
          <w:sz w:val="16"/>
          <w:szCs w:val="16"/>
        </w:rPr>
        <w:t>, a pedido do Departamento de Estradas de Rodagem, Infraestrutura e Serviços Públicos – DER</w:t>
      </w:r>
      <w:r w:rsidR="00EE6A66">
        <w:rPr>
          <w:rFonts w:ascii="Arial" w:hAnsi="Arial" w:cs="Arial"/>
          <w:sz w:val="16"/>
          <w:szCs w:val="16"/>
        </w:rPr>
        <w:t>.</w:t>
      </w:r>
    </w:p>
    <w:p w:rsidR="00EE6A66" w:rsidRPr="00CA0238" w:rsidRDefault="00EE6A66" w:rsidP="008C7613">
      <w:pPr>
        <w:jc w:val="both"/>
        <w:rPr>
          <w:rFonts w:ascii="Arial" w:hAnsi="Arial" w:cs="Arial"/>
          <w:sz w:val="16"/>
          <w:szCs w:val="16"/>
        </w:rPr>
      </w:pP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w:t>
      </w:r>
      <w:r w:rsidR="005F7B2A">
        <w:rPr>
          <w:rFonts w:ascii="Arial" w:hAnsi="Arial" w:cs="Arial"/>
          <w:b/>
          <w:bCs/>
          <w:sz w:val="16"/>
          <w:szCs w:val="16"/>
        </w:rPr>
        <w:t>, FORMA</w:t>
      </w:r>
      <w:r w:rsidRPr="009A54D1">
        <w:rPr>
          <w:rFonts w:ascii="Arial" w:hAnsi="Arial" w:cs="Arial"/>
          <w:b/>
          <w:bCs/>
          <w:sz w:val="16"/>
          <w:szCs w:val="16"/>
        </w:rPr>
        <w:t xml:space="preserve"> E LOCAL D</w:t>
      </w:r>
      <w:r w:rsidR="005F7B2A">
        <w:rPr>
          <w:rFonts w:ascii="Arial" w:hAnsi="Arial" w:cs="Arial"/>
          <w:b/>
          <w:bCs/>
          <w:sz w:val="16"/>
          <w:szCs w:val="16"/>
        </w:rPr>
        <w:t xml:space="preserve">A </w:t>
      </w:r>
      <w:proofErr w:type="gramStart"/>
      <w:r w:rsidR="005F7B2A">
        <w:rPr>
          <w:rFonts w:ascii="Arial" w:hAnsi="Arial" w:cs="Arial"/>
          <w:b/>
          <w:bCs/>
          <w:sz w:val="16"/>
          <w:szCs w:val="16"/>
        </w:rPr>
        <w:t>EXECUÇÃO</w:t>
      </w:r>
      <w:proofErr w:type="gramEnd"/>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251D62" w:rsidRDefault="00D9528D" w:rsidP="00251D62">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B11384">
        <w:rPr>
          <w:rFonts w:ascii="Arial" w:hAnsi="Arial" w:cs="Arial"/>
          <w:sz w:val="16"/>
          <w:szCs w:val="16"/>
        </w:rPr>
        <w:t>73 inciso II, “a” e “b”, da Lei 8.666/93 e alterações.</w:t>
      </w:r>
    </w:p>
    <w:p w:rsidR="005F7B2A" w:rsidRDefault="005F7B2A" w:rsidP="005F7B2A">
      <w:pPr>
        <w:pStyle w:val="Corpodetexto3"/>
        <w:tabs>
          <w:tab w:val="left" w:pos="900"/>
        </w:tabs>
        <w:ind w:left="360" w:right="47"/>
        <w:rPr>
          <w:rFonts w:ascii="Arial" w:hAnsi="Arial" w:cs="Arial"/>
          <w:sz w:val="16"/>
          <w:szCs w:val="16"/>
        </w:rPr>
      </w:pPr>
    </w:p>
    <w:p w:rsidR="005F7B2A" w:rsidRDefault="005F7B2A" w:rsidP="005F7B2A">
      <w:pPr>
        <w:pStyle w:val="Corpodetexto3"/>
        <w:numPr>
          <w:ilvl w:val="1"/>
          <w:numId w:val="2"/>
        </w:numPr>
        <w:tabs>
          <w:tab w:val="left" w:pos="900"/>
        </w:tabs>
        <w:ind w:right="47"/>
        <w:rPr>
          <w:rFonts w:ascii="Arial" w:hAnsi="Arial" w:cs="Arial"/>
          <w:sz w:val="16"/>
          <w:szCs w:val="16"/>
        </w:rPr>
      </w:pPr>
      <w:r w:rsidRPr="005F7B2A">
        <w:rPr>
          <w:rFonts w:ascii="Arial" w:hAnsi="Arial" w:cs="Arial"/>
          <w:b/>
          <w:sz w:val="16"/>
          <w:szCs w:val="16"/>
        </w:rPr>
        <w:t>PRAZO E FORMA DE EXECUÇÃO:</w:t>
      </w:r>
      <w:r w:rsidRPr="005F7B2A">
        <w:rPr>
          <w:rFonts w:ascii="Arial" w:hAnsi="Arial" w:cs="Arial"/>
          <w:sz w:val="16"/>
          <w:szCs w:val="16"/>
        </w:rPr>
        <w:t xml:space="preserve"> O prazo para o início da execução dos serviços será de até 05 (cinco) dias, contados da data de recebimento da Nota de Empenho ou da assinatura do instrumento contratual, o que ocorrer primeiro. Esse prazo poderá ser dilatado em casos excepcionais, mediante apresentação de justificativa, com concordância da Administração.</w:t>
      </w:r>
    </w:p>
    <w:p w:rsidR="005F7B2A" w:rsidRDefault="005F7B2A" w:rsidP="005F7B2A">
      <w:pPr>
        <w:pStyle w:val="PargrafodaLista"/>
        <w:rPr>
          <w:rFonts w:ascii="Arial" w:hAnsi="Arial" w:cs="Arial"/>
          <w:sz w:val="16"/>
          <w:szCs w:val="16"/>
        </w:rPr>
      </w:pPr>
    </w:p>
    <w:p w:rsidR="005F7B2A" w:rsidRDefault="005F7B2A" w:rsidP="005F7B2A">
      <w:pPr>
        <w:pStyle w:val="Corpodetexto3"/>
        <w:numPr>
          <w:ilvl w:val="2"/>
          <w:numId w:val="37"/>
        </w:numPr>
        <w:tabs>
          <w:tab w:val="left" w:pos="900"/>
        </w:tabs>
        <w:ind w:right="47"/>
        <w:rPr>
          <w:rFonts w:ascii="Arial" w:hAnsi="Arial" w:cs="Arial"/>
          <w:sz w:val="16"/>
          <w:szCs w:val="16"/>
        </w:rPr>
      </w:pPr>
      <w:r>
        <w:rPr>
          <w:rFonts w:ascii="Arial" w:hAnsi="Arial" w:cs="Arial"/>
          <w:sz w:val="16"/>
          <w:szCs w:val="16"/>
        </w:rPr>
        <w:t xml:space="preserve"> </w:t>
      </w:r>
      <w:r w:rsidRPr="005F7B2A">
        <w:rPr>
          <w:rFonts w:ascii="Arial" w:hAnsi="Arial" w:cs="Arial"/>
          <w:sz w:val="16"/>
          <w:szCs w:val="16"/>
        </w:rPr>
        <w:t>A empresa vencedora deverá disponibilizar o veículo no horário das 08h00min as 18h00min, na Obra do Espaço Alternativo para transportar os servidores até o refeitório da Coordenadoria Metropolitana, com extensão de 2,9 km.</w:t>
      </w:r>
    </w:p>
    <w:p w:rsidR="005F7B2A" w:rsidRDefault="005F7B2A" w:rsidP="005F7B2A">
      <w:pPr>
        <w:pStyle w:val="Corpodetexto3"/>
        <w:tabs>
          <w:tab w:val="left" w:pos="900"/>
        </w:tabs>
        <w:ind w:left="360" w:right="47"/>
        <w:rPr>
          <w:rFonts w:ascii="Arial" w:hAnsi="Arial" w:cs="Arial"/>
          <w:sz w:val="16"/>
          <w:szCs w:val="16"/>
        </w:rPr>
      </w:pPr>
    </w:p>
    <w:p w:rsidR="005F7B2A" w:rsidRPr="005F7B2A" w:rsidRDefault="005F7B2A" w:rsidP="005F7B2A">
      <w:pPr>
        <w:pStyle w:val="Corpodetexto3"/>
        <w:numPr>
          <w:ilvl w:val="1"/>
          <w:numId w:val="37"/>
        </w:numPr>
        <w:tabs>
          <w:tab w:val="left" w:pos="900"/>
        </w:tabs>
        <w:ind w:right="47"/>
        <w:rPr>
          <w:rFonts w:ascii="Arial" w:hAnsi="Arial" w:cs="Arial"/>
          <w:sz w:val="16"/>
          <w:szCs w:val="16"/>
        </w:rPr>
      </w:pPr>
      <w:r w:rsidRPr="005F7B2A">
        <w:rPr>
          <w:rFonts w:ascii="Arial" w:hAnsi="Arial" w:cs="Arial"/>
          <w:b/>
          <w:sz w:val="16"/>
          <w:szCs w:val="16"/>
        </w:rPr>
        <w:t>DO LOCAL DA EXECUÇÃO:</w:t>
      </w:r>
      <w:r w:rsidRPr="005F7B2A">
        <w:rPr>
          <w:rFonts w:ascii="Arial" w:hAnsi="Arial" w:cs="Arial"/>
          <w:sz w:val="16"/>
          <w:szCs w:val="16"/>
        </w:rPr>
        <w:t xml:space="preserve"> Obra do Espaço Alternativo situado na Avenida Jorge Teixeira, entre o Hospital de Base e o aeroporto.</w:t>
      </w:r>
    </w:p>
    <w:p w:rsidR="00D9528D" w:rsidRDefault="00D9528D" w:rsidP="005F7B2A">
      <w:pPr>
        <w:pStyle w:val="Corpodetexto3"/>
        <w:tabs>
          <w:tab w:val="left" w:pos="900"/>
        </w:tabs>
        <w:ind w:right="47"/>
        <w:rPr>
          <w:rFonts w:ascii="Arial" w:hAnsi="Arial" w:cs="Arial"/>
          <w:sz w:val="16"/>
          <w:szCs w:val="16"/>
        </w:rPr>
      </w:pPr>
    </w:p>
    <w:p w:rsidR="00EE6A66" w:rsidRPr="00EE6A66" w:rsidRDefault="00EE6A66" w:rsidP="00EE6A66">
      <w:pPr>
        <w:pStyle w:val="Corpodetexto3"/>
        <w:tabs>
          <w:tab w:val="left" w:pos="900"/>
        </w:tabs>
        <w:ind w:left="360" w:right="47"/>
        <w:rPr>
          <w:rFonts w:ascii="Arial" w:hAnsi="Arial" w:cs="Arial"/>
          <w:sz w:val="16"/>
          <w:szCs w:val="16"/>
        </w:rPr>
      </w:pPr>
    </w:p>
    <w:p w:rsidR="009D2314" w:rsidRPr="00EE6A66" w:rsidRDefault="007A61C6" w:rsidP="009F2CD8">
      <w:pPr>
        <w:pStyle w:val="PargrafodaLista"/>
        <w:numPr>
          <w:ilvl w:val="0"/>
          <w:numId w:val="3"/>
        </w:numPr>
        <w:jc w:val="both"/>
        <w:rPr>
          <w:rFonts w:ascii="Arial" w:hAnsi="Arial" w:cs="Arial"/>
          <w:b/>
          <w:sz w:val="16"/>
          <w:szCs w:val="16"/>
        </w:rPr>
      </w:pPr>
      <w:r w:rsidRPr="00EE6A66">
        <w:rPr>
          <w:rFonts w:ascii="Arial" w:hAnsi="Arial" w:cs="Arial"/>
          <w:b/>
          <w:sz w:val="16"/>
          <w:szCs w:val="16"/>
        </w:rPr>
        <w:t>D</w:t>
      </w:r>
      <w:r w:rsidR="009D2314" w:rsidRPr="00EE6A66">
        <w:rPr>
          <w:rFonts w:ascii="Arial" w:hAnsi="Arial" w:cs="Arial"/>
          <w:b/>
          <w:sz w:val="16"/>
          <w:szCs w:val="16"/>
        </w:rPr>
        <w:t xml:space="preserve">AS CONDIÇÕES DE PAGAMENTO </w:t>
      </w:r>
      <w:r w:rsidR="00ED6824" w:rsidRPr="00EE6A66">
        <w:rPr>
          <w:rFonts w:ascii="Arial" w:hAnsi="Arial" w:cs="Arial"/>
          <w:b/>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5E1530" w:rsidRPr="00B11384" w:rsidRDefault="009D2314" w:rsidP="00B11384">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Default="009D2314" w:rsidP="00B11384">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B11384" w:rsidRPr="00B11384" w:rsidRDefault="00B11384" w:rsidP="00B11384">
      <w:pPr>
        <w:pStyle w:val="Lista2"/>
        <w:jc w:val="both"/>
        <w:rPr>
          <w:bCs/>
          <w:sz w:val="16"/>
          <w:szCs w:val="16"/>
        </w:rPr>
      </w:pPr>
    </w:p>
    <w:p w:rsid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 xml:space="preserve">Pela Inexecução total ou parcial do objeto, o DER-RO </w:t>
      </w:r>
      <w:proofErr w:type="gramStart"/>
      <w:r w:rsidRPr="005F7B2A">
        <w:rPr>
          <w:bCs/>
          <w:sz w:val="16"/>
          <w:szCs w:val="16"/>
        </w:rPr>
        <w:t>poderá,</w:t>
      </w:r>
      <w:proofErr w:type="gramEnd"/>
      <w:r w:rsidRPr="005F7B2A">
        <w:rPr>
          <w:bCs/>
          <w:sz w:val="16"/>
          <w:szCs w:val="16"/>
        </w:rPr>
        <w:t xml:space="preserve"> garantida a prévia defesa, aplicar à empresa contratada as seguintes sanções:</w:t>
      </w:r>
    </w:p>
    <w:p w:rsidR="005F7B2A" w:rsidRPr="005F7B2A" w:rsidRDefault="005F7B2A" w:rsidP="005F7B2A">
      <w:pPr>
        <w:spacing w:line="276" w:lineRule="auto"/>
        <w:ind w:left="360"/>
        <w:jc w:val="both"/>
        <w:rPr>
          <w:rFonts w:ascii="Arial" w:hAnsi="Arial" w:cs="Arial"/>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Advertência, que será aplicada por meio de notificação, estabelecendo o prazo de 05 (cinco) dias úteis para que a empresa contratada apresente justificativas para o atraso, que só serão aceitas mediante crivo da Administração;</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Multa moratória correspondente a 0,5% (cinco décimos por cento) sobre o valor do serviço, por dia de atraso no cumprimento das obrigações assumidas, até a data do efetivo adimplemento, observado o limite de 10 (dez) dias corridos, após o qual será caracterizada a inexecução parcial ou total do contrato, conforme o caso;</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A multa moratória será aplicada a partir do 1º dia útil da inadimplência, contado da data definida para o regular cumprimento da obrigação;</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Multa moratória de 0,5% (cinco décimos por cento) sobre o valor do serviço, por dia de atraso na assinatura do instrumento contratual ou no recebimento da Ordem de Fornecimento ou da Nota de Empenho, observado o limite de 10 (dez) dias corridos, após o qual será caracterizada a inexecução total do contrato, salvo no caso de justificativa aceita pela Administração;</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Multa de 10% (dez por cento) sobre o valor do serviço,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Multa de 10% (dez por cento) sobre o valor do serviço não efetivado, no caso de inexecução parcial, sem embargo de indenização dos prejuízos porventura causados ao DER/RO pela execução parcial do contrato;</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Multa de 10% (dez por cento) sobre o valor total do serviço, no caso de sua inexecução total, sem embargo de indenização dos prejuízos porventura causados ao DER/RO;</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Multa de 10% (dez por cento) sobre o valor do serviço não efetivado, pela recusa injustificada na substituição do serviço defeituoso no prazo estabelecido neste Termo de Referência;</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Multa moratória de 0,5% (cinco décimos por cento) sobre o valor do serviço não efetivado, por dia de atraso na substituição do serviço defeituoso, observado o limite de 10 (dez) dias corridos, após o qual será considerada a inexecução parcial do contrato, salvo em caso de justificativa aceita pela administração;</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 xml:space="preserve">A multa prevista nos subitens </w:t>
      </w:r>
      <w:r>
        <w:rPr>
          <w:bCs/>
          <w:sz w:val="16"/>
          <w:szCs w:val="16"/>
        </w:rPr>
        <w:t>9.3</w:t>
      </w:r>
      <w:r w:rsidRPr="005F7B2A">
        <w:rPr>
          <w:bCs/>
          <w:sz w:val="16"/>
          <w:szCs w:val="16"/>
        </w:rPr>
        <w:t xml:space="preserve">, </w:t>
      </w:r>
      <w:r w:rsidR="00807DDE">
        <w:rPr>
          <w:bCs/>
          <w:sz w:val="16"/>
          <w:szCs w:val="16"/>
        </w:rPr>
        <w:t>9.5</w:t>
      </w:r>
      <w:r w:rsidRPr="005F7B2A">
        <w:rPr>
          <w:bCs/>
          <w:sz w:val="16"/>
          <w:szCs w:val="16"/>
        </w:rPr>
        <w:t xml:space="preserve"> e </w:t>
      </w:r>
      <w:r w:rsidR="00807DDE">
        <w:rPr>
          <w:bCs/>
          <w:sz w:val="16"/>
          <w:szCs w:val="16"/>
        </w:rPr>
        <w:t>9.10</w:t>
      </w:r>
      <w:r w:rsidRPr="005F7B2A">
        <w:rPr>
          <w:bCs/>
          <w:sz w:val="16"/>
          <w:szCs w:val="16"/>
        </w:rPr>
        <w:t xml:space="preserve"> poderão ser aplicadas isoladas ou em conjunto com as previstas nos subitens </w:t>
      </w:r>
      <w:r w:rsidR="00807DDE">
        <w:rPr>
          <w:bCs/>
          <w:sz w:val="16"/>
          <w:szCs w:val="16"/>
        </w:rPr>
        <w:t>9.7</w:t>
      </w:r>
      <w:r w:rsidRPr="005F7B2A">
        <w:rPr>
          <w:bCs/>
          <w:sz w:val="16"/>
          <w:szCs w:val="16"/>
        </w:rPr>
        <w:t xml:space="preserve"> e </w:t>
      </w:r>
      <w:r w:rsidR="00807DDE">
        <w:rPr>
          <w:bCs/>
          <w:sz w:val="16"/>
          <w:szCs w:val="16"/>
        </w:rPr>
        <w:t>9.8</w:t>
      </w:r>
      <w:r w:rsidRPr="005F7B2A">
        <w:rPr>
          <w:bCs/>
          <w:sz w:val="16"/>
          <w:szCs w:val="16"/>
        </w:rPr>
        <w:t>;</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 xml:space="preserve">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5F7B2A">
        <w:rPr>
          <w:bCs/>
          <w:sz w:val="16"/>
          <w:szCs w:val="16"/>
        </w:rPr>
        <w:t>5</w:t>
      </w:r>
      <w:proofErr w:type="gramEnd"/>
      <w:r w:rsidRPr="005F7B2A">
        <w:rPr>
          <w:bCs/>
          <w:sz w:val="16"/>
          <w:szCs w:val="16"/>
        </w:rPr>
        <w:t xml:space="preserve"> (cinco) anos, sem prejuízo das multas previstas no presente instrumento e das demais cominações legais.</w:t>
      </w:r>
    </w:p>
    <w:p w:rsidR="005F7B2A" w:rsidRPr="005F7B2A" w:rsidRDefault="005F7B2A" w:rsidP="005F7B2A">
      <w:pPr>
        <w:pStyle w:val="Lista2"/>
        <w:ind w:left="360" w:firstLine="0"/>
        <w:jc w:val="both"/>
        <w:rPr>
          <w:bCs/>
          <w:sz w:val="16"/>
          <w:szCs w:val="16"/>
        </w:rPr>
      </w:pPr>
    </w:p>
    <w:p w:rsidR="005F7B2A" w:rsidRPr="005F7B2A" w:rsidRDefault="005F7B2A" w:rsidP="005F7B2A">
      <w:pPr>
        <w:pStyle w:val="Lista2"/>
        <w:numPr>
          <w:ilvl w:val="1"/>
          <w:numId w:val="4"/>
        </w:numPr>
        <w:jc w:val="both"/>
        <w:rPr>
          <w:bCs/>
          <w:sz w:val="16"/>
          <w:szCs w:val="16"/>
        </w:rPr>
      </w:pPr>
      <w:r w:rsidRPr="005F7B2A">
        <w:rPr>
          <w:bCs/>
          <w:sz w:val="16"/>
          <w:szCs w:val="16"/>
        </w:rPr>
        <w:t>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5F7B2A" w:rsidRPr="00B759CD" w:rsidRDefault="005F7B2A" w:rsidP="005F7B2A">
      <w:pPr>
        <w:spacing w:line="276" w:lineRule="auto"/>
        <w:jc w:val="both"/>
        <w:rPr>
          <w:rFonts w:ascii="Arial" w:hAnsi="Arial" w:cs="Arial"/>
          <w:bCs/>
          <w:color w:val="000000"/>
          <w:sz w:val="21"/>
          <w:szCs w:val="21"/>
        </w:rPr>
      </w:pPr>
    </w:p>
    <w:p w:rsidR="00FB296C" w:rsidRDefault="00FB296C" w:rsidP="00FB296C">
      <w:pPr>
        <w:pStyle w:val="PargrafodaLista"/>
        <w:rPr>
          <w:bCs/>
          <w:color w:val="000000"/>
          <w:sz w:val="16"/>
          <w:szCs w:val="16"/>
        </w:rPr>
      </w:pPr>
    </w:p>
    <w:p w:rsidR="00FB296C" w:rsidRPr="00C638FC" w:rsidRDefault="00FB296C" w:rsidP="00FB296C">
      <w:pPr>
        <w:autoSpaceDE w:val="0"/>
        <w:autoSpaceDN w:val="0"/>
        <w:adjustRightInd w:val="0"/>
        <w:jc w:val="both"/>
        <w:rPr>
          <w:rFonts w:ascii="Arial" w:hAnsi="Arial" w:cs="Arial"/>
          <w:color w:val="000000"/>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00D9528D">
        <w:rPr>
          <w:rFonts w:ascii="Arial" w:hAnsi="Arial" w:cs="Arial"/>
          <w:sz w:val="16"/>
          <w:szCs w:val="16"/>
        </w:rPr>
        <w:t>Departamento d</w:t>
      </w:r>
      <w:r w:rsidRPr="00891C60">
        <w:rPr>
          <w:rFonts w:ascii="Arial" w:hAnsi="Arial" w:cs="Arial"/>
          <w:sz w:val="16"/>
          <w:szCs w:val="16"/>
        </w:rPr>
        <w:t>e Estra</w:t>
      </w:r>
      <w:r w:rsidR="00D9528D">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D16BD2"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B2A" w:rsidRDefault="005F7B2A">
      <w:r>
        <w:separator/>
      </w:r>
    </w:p>
  </w:endnote>
  <w:endnote w:type="continuationSeparator" w:id="0">
    <w:p w:rsidR="005F7B2A" w:rsidRDefault="005F7B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B2A" w:rsidRDefault="005F7B2A">
      <w:r>
        <w:separator/>
      </w:r>
    </w:p>
  </w:footnote>
  <w:footnote w:type="continuationSeparator" w:id="0">
    <w:p w:rsidR="005F7B2A" w:rsidRDefault="005F7B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B2A" w:rsidRDefault="005F7B2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7">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nsid w:val="49E8144A"/>
    <w:multiLevelType w:val="multilevel"/>
    <w:tmpl w:val="57B07B4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9">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2">
    <w:nsid w:val="62BA3273"/>
    <w:multiLevelType w:val="multilevel"/>
    <w:tmpl w:val="6ABC108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6CC51650"/>
    <w:multiLevelType w:val="multilevel"/>
    <w:tmpl w:val="61C4388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6">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7"/>
  </w:num>
  <w:num w:numId="2">
    <w:abstractNumId w:val="19"/>
  </w:num>
  <w:num w:numId="3">
    <w:abstractNumId w:val="8"/>
  </w:num>
  <w:num w:numId="4">
    <w:abstractNumId w:val="7"/>
  </w:num>
  <w:num w:numId="5">
    <w:abstractNumId w:val="22"/>
  </w:num>
  <w:num w:numId="6">
    <w:abstractNumId w:val="20"/>
  </w:num>
  <w:num w:numId="7">
    <w:abstractNumId w:val="34"/>
  </w:num>
  <w:num w:numId="8">
    <w:abstractNumId w:val="14"/>
  </w:num>
  <w:num w:numId="9">
    <w:abstractNumId w:val="18"/>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29"/>
  </w:num>
  <w:num w:numId="14">
    <w:abstractNumId w:val="37"/>
  </w:num>
  <w:num w:numId="15">
    <w:abstractNumId w:val="3"/>
  </w:num>
  <w:num w:numId="16">
    <w:abstractNumId w:val="4"/>
  </w:num>
  <w:num w:numId="17">
    <w:abstractNumId w:val="21"/>
  </w:num>
  <w:num w:numId="18">
    <w:abstractNumId w:val="36"/>
  </w:num>
  <w:num w:numId="19">
    <w:abstractNumId w:val="13"/>
  </w:num>
  <w:num w:numId="20">
    <w:abstractNumId w:val="31"/>
  </w:num>
  <w:num w:numId="21">
    <w:abstractNumId w:val="9"/>
  </w:num>
  <w:num w:numId="22">
    <w:abstractNumId w:val="15"/>
  </w:num>
  <w:num w:numId="23">
    <w:abstractNumId w:val="23"/>
  </w:num>
  <w:num w:numId="24">
    <w:abstractNumId w:val="26"/>
  </w:num>
  <w:num w:numId="25">
    <w:abstractNumId w:val="25"/>
  </w:num>
  <w:num w:numId="26">
    <w:abstractNumId w:val="1"/>
  </w:num>
  <w:num w:numId="27">
    <w:abstractNumId w:val="2"/>
  </w:num>
  <w:num w:numId="28">
    <w:abstractNumId w:val="11"/>
  </w:num>
  <w:num w:numId="29">
    <w:abstractNumId w:val="10"/>
  </w:num>
  <w:num w:numId="30">
    <w:abstractNumId w:val="30"/>
  </w:num>
  <w:num w:numId="31">
    <w:abstractNumId w:val="28"/>
  </w:num>
  <w:num w:numId="32">
    <w:abstractNumId w:val="17"/>
  </w:num>
  <w:num w:numId="33">
    <w:abstractNumId w:val="24"/>
  </w:num>
  <w:num w:numId="34">
    <w:abstractNumId w:val="16"/>
  </w:num>
  <w:num w:numId="35">
    <w:abstractNumId w:val="5"/>
  </w:num>
  <w:num w:numId="36">
    <w:abstractNumId w:val="32"/>
  </w:num>
  <w:num w:numId="37">
    <w:abstractNumId w:val="3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126A"/>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1D62"/>
    <w:rsid w:val="00255F4C"/>
    <w:rsid w:val="00256091"/>
    <w:rsid w:val="00260036"/>
    <w:rsid w:val="00263010"/>
    <w:rsid w:val="002640C0"/>
    <w:rsid w:val="00265C0C"/>
    <w:rsid w:val="0026689A"/>
    <w:rsid w:val="00266E26"/>
    <w:rsid w:val="00270240"/>
    <w:rsid w:val="0027115B"/>
    <w:rsid w:val="00282B83"/>
    <w:rsid w:val="0028355D"/>
    <w:rsid w:val="00284428"/>
    <w:rsid w:val="00286A75"/>
    <w:rsid w:val="00294FBA"/>
    <w:rsid w:val="002A000F"/>
    <w:rsid w:val="002A1D6C"/>
    <w:rsid w:val="002A208A"/>
    <w:rsid w:val="002A35DC"/>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740EE"/>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5F7B2A"/>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356"/>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1E16"/>
    <w:rsid w:val="00802CEE"/>
    <w:rsid w:val="00807D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7679"/>
    <w:rsid w:val="00996BFE"/>
    <w:rsid w:val="009A230C"/>
    <w:rsid w:val="009A3C8C"/>
    <w:rsid w:val="009A4671"/>
    <w:rsid w:val="009A54D1"/>
    <w:rsid w:val="009B1C4F"/>
    <w:rsid w:val="009B1FDD"/>
    <w:rsid w:val="009B4A86"/>
    <w:rsid w:val="009B79FE"/>
    <w:rsid w:val="009C0461"/>
    <w:rsid w:val="009C0D68"/>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D6A45"/>
    <w:rsid w:val="00AE1772"/>
    <w:rsid w:val="00AE2687"/>
    <w:rsid w:val="00AE399A"/>
    <w:rsid w:val="00AF3238"/>
    <w:rsid w:val="00AF3F5D"/>
    <w:rsid w:val="00AF7C0D"/>
    <w:rsid w:val="00B02029"/>
    <w:rsid w:val="00B0277B"/>
    <w:rsid w:val="00B079E9"/>
    <w:rsid w:val="00B11384"/>
    <w:rsid w:val="00B119ED"/>
    <w:rsid w:val="00B12CD0"/>
    <w:rsid w:val="00B12FCC"/>
    <w:rsid w:val="00B13728"/>
    <w:rsid w:val="00B13977"/>
    <w:rsid w:val="00B16E0A"/>
    <w:rsid w:val="00B2448A"/>
    <w:rsid w:val="00B26796"/>
    <w:rsid w:val="00B2706E"/>
    <w:rsid w:val="00B276A5"/>
    <w:rsid w:val="00B3555D"/>
    <w:rsid w:val="00B4108C"/>
    <w:rsid w:val="00B41D2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16BD2"/>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0F8E"/>
    <w:rsid w:val="00EB4B2B"/>
    <w:rsid w:val="00EC12CE"/>
    <w:rsid w:val="00EC31DB"/>
    <w:rsid w:val="00EC3592"/>
    <w:rsid w:val="00EC50DC"/>
    <w:rsid w:val="00ED2E13"/>
    <w:rsid w:val="00ED6824"/>
    <w:rsid w:val="00EE6A66"/>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296C"/>
    <w:rsid w:val="00FB3A91"/>
    <w:rsid w:val="00FB6738"/>
    <w:rsid w:val="00FC222E"/>
    <w:rsid w:val="00FC2946"/>
    <w:rsid w:val="00FC4455"/>
    <w:rsid w:val="00FC752F"/>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blockquote">
    <w:name w:val="blockquote"/>
    <w:basedOn w:val="Normal"/>
    <w:rsid w:val="00251D62"/>
    <w:pPr>
      <w:spacing w:before="100" w:after="10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475115-D09E-4A7D-B9BC-CA3A67246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2707</Words>
  <Characters>14927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2016-10-26T13:16:00Z</cp:lastPrinted>
  <dcterms:created xsi:type="dcterms:W3CDTF">2016-11-25T12:22:00Z</dcterms:created>
  <dcterms:modified xsi:type="dcterms:W3CDTF">2016-11-25T12:33:00Z</dcterms:modified>
</cp:coreProperties>
</file>